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146220">
        <w:rPr>
          <w:rFonts w:ascii="Tahoma" w:hAnsi="Tahoma" w:cs="Tahoma"/>
          <w:b/>
          <w:sz w:val="24"/>
          <w:szCs w:val="24"/>
        </w:rPr>
        <w:t>RYB PRZETWORZONYCH I KONSERWOWANYCH</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146220">
        <w:rPr>
          <w:rFonts w:ascii="Tahoma" w:hAnsi="Tahoma" w:cs="Tahoma"/>
          <w:sz w:val="20"/>
          <w:szCs w:val="20"/>
        </w:rPr>
        <w:t>3</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Zamawiającego w portalu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t>
      </w:r>
      <w:proofErr w:type="spellStart"/>
      <w:r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t xml:space="preserve">kod CPV </w:t>
      </w:r>
      <w:r w:rsidR="003E650D" w:rsidRPr="00146220">
        <w:rPr>
          <w:rFonts w:ascii="Tahoma" w:hAnsi="Tahoma" w:cs="Tahoma"/>
          <w:sz w:val="20"/>
          <w:szCs w:val="20"/>
        </w:rPr>
        <w:t>15</w:t>
      </w:r>
      <w:r w:rsidR="00146220">
        <w:rPr>
          <w:rFonts w:ascii="Tahoma" w:hAnsi="Tahoma" w:cs="Tahoma"/>
          <w:sz w:val="20"/>
          <w:szCs w:val="20"/>
        </w:rPr>
        <w:t>200000-0 Ryby przetworzone i konserwowane</w:t>
      </w:r>
      <w:r w:rsidR="003E650D" w:rsidRPr="00146220">
        <w:rPr>
          <w:rFonts w:ascii="Tahoma" w:hAnsi="Tahoma" w:cs="Tahoma"/>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 w godzinach pomiędzy 7:00-14:00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dostarczonego towaru następuje w terminie 48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lastRenderedPageBreak/>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Formularz do zaszyfrowania oferty przez Wykonawcę jest dostępny dla Wykonawców na mini portalu, w szczegółach danego postępowania. W formularzu oferty/wniosku </w:t>
      </w:r>
      <w:r w:rsidRPr="0020086D">
        <w:rPr>
          <w:rFonts w:ascii="Tahoma" w:hAnsi="Tahoma" w:cs="Tahoma"/>
          <w:sz w:val="20"/>
          <w:szCs w:val="20"/>
        </w:rPr>
        <w:lastRenderedPageBreak/>
        <w:t xml:space="preserve">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Pr>
          <w:rFonts w:ascii="Tahoma" w:hAnsi="Tahoma" w:cs="Tahoma"/>
          <w:sz w:val="20"/>
          <w:szCs w:val="20"/>
        </w:rPr>
        <w:t>1</w:t>
      </w:r>
      <w:r w:rsidR="00546B24">
        <w:rPr>
          <w:rFonts w:ascii="Tahoma" w:hAnsi="Tahoma" w:cs="Tahoma"/>
          <w:sz w:val="20"/>
          <w:szCs w:val="20"/>
        </w:rPr>
        <w:t>0 grudnia 2021r. do godziny 12</w:t>
      </w:r>
      <w:r w:rsidRPr="0020086D">
        <w:rPr>
          <w:rFonts w:ascii="Tahoma" w:hAnsi="Tahoma" w:cs="Tahoma"/>
          <w:sz w:val="20"/>
          <w:szCs w:val="20"/>
        </w:rPr>
        <w:t>:00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Pr>
          <w:rFonts w:ascii="Tahoma" w:hAnsi="Tahoma" w:cs="Tahoma"/>
          <w:sz w:val="20"/>
          <w:szCs w:val="20"/>
        </w:rPr>
        <w:t>1</w:t>
      </w:r>
      <w:r w:rsidRPr="0020086D">
        <w:rPr>
          <w:rFonts w:ascii="Tahoma" w:hAnsi="Tahoma" w:cs="Tahoma"/>
          <w:sz w:val="20"/>
          <w:szCs w:val="20"/>
        </w:rPr>
        <w:t>0 grudnia 2021r. o godzinie: 1</w:t>
      </w:r>
      <w:r w:rsidR="00546B24">
        <w:rPr>
          <w:rFonts w:ascii="Tahoma" w:hAnsi="Tahoma" w:cs="Tahoma"/>
          <w:sz w:val="20"/>
          <w:szCs w:val="20"/>
        </w:rPr>
        <w:t>2</w:t>
      </w:r>
      <w:r w:rsidRPr="0020086D">
        <w:rPr>
          <w:rFonts w:ascii="Tahoma" w:hAnsi="Tahoma" w:cs="Tahoma"/>
          <w:sz w:val="20"/>
          <w:szCs w:val="20"/>
        </w:rPr>
        <w:t>:15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lastRenderedPageBreak/>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BF5F3A">
            <w:pPr>
              <w:spacing w:before="60" w:after="60"/>
              <w:rPr>
                <w:rFonts w:ascii="Tahoma" w:hAnsi="Tahoma" w:cs="Tahoma"/>
                <w:b/>
                <w:sz w:val="20"/>
                <w:szCs w:val="20"/>
              </w:rPr>
            </w:pPr>
            <w:r>
              <w:rPr>
                <w:rFonts w:ascii="Tahoma" w:hAnsi="Tahoma" w:cs="Tahoma"/>
                <w:b/>
                <w:sz w:val="20"/>
                <w:szCs w:val="20"/>
              </w:rPr>
              <w:t>DGK.26.1.3.2021.</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F5F3A">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F5F3A">
        <w:trPr>
          <w:trHeight w:val="857"/>
          <w:jc w:val="center"/>
        </w:trPr>
        <w:tc>
          <w:tcPr>
            <w:tcW w:w="29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841"/>
          <w:jc w:val="center"/>
        </w:trPr>
        <w:tc>
          <w:tcPr>
            <w:tcW w:w="29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404"/>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pPr>
              <w:ind w:left="720"/>
              <w:jc w:val="center"/>
              <w:rPr>
                <w:rFonts w:ascii="Tahoma" w:hAnsi="Tahoma" w:cs="Tahoma"/>
                <w:b/>
                <w:sz w:val="20"/>
                <w:szCs w:val="20"/>
              </w:rPr>
            </w:pPr>
            <w:r>
              <w:rPr>
                <w:rFonts w:ascii="Tahoma" w:hAnsi="Tahoma" w:cs="Tahoma"/>
                <w:b/>
                <w:bCs/>
                <w:sz w:val="20"/>
                <w:szCs w:val="20"/>
              </w:rPr>
              <w:t>„Sprzedaż wraz z sukcesywną dostawą ryb przetworzonych i konserwowanych na rzecz DPS „Zameczek” w roku 2022”</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DGK.26.1.3.2021.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spacing w:line="360" w:lineRule="auto"/>
        <w:rPr>
          <w:rFonts w:ascii="Tahoma" w:eastAsia="Calibri" w:hAnsi="Tahoma" w:cs="Tahoma"/>
          <w:sz w:val="20"/>
          <w:szCs w:val="20"/>
          <w:u w:val="single"/>
        </w:rPr>
      </w:pP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Na potrzeby postępowania o udzielenie zamówienia publicznego pn. „</w:t>
      </w:r>
      <w:r w:rsidRPr="0020086D">
        <w:rPr>
          <w:rFonts w:ascii="Tahoma" w:hAnsi="Tahoma" w:cs="Tahoma"/>
          <w:sz w:val="20"/>
        </w:rPr>
        <w:t xml:space="preserve">Sprzedaż wraz z sukcesywną dostawą </w:t>
      </w:r>
      <w:r>
        <w:rPr>
          <w:rFonts w:ascii="Tahoma" w:hAnsi="Tahoma" w:cs="Tahoma"/>
          <w:sz w:val="20"/>
        </w:rPr>
        <w:t xml:space="preserve">ryb przetworzonych i konserwowanych </w:t>
      </w:r>
      <w:r w:rsidRPr="0020086D">
        <w:rPr>
          <w:rFonts w:ascii="Tahoma" w:hAnsi="Tahoma" w:cs="Tahoma"/>
          <w:sz w:val="20"/>
        </w:rPr>
        <w:t>na rzecz DPS „Zameczek” w roku 2022”</w:t>
      </w:r>
    </w:p>
    <w:p w:rsidR="00BF5F3A" w:rsidRPr="0020086D" w:rsidRDefault="00BF5F3A" w:rsidP="00BF5F3A">
      <w:pPr>
        <w:jc w:val="both"/>
        <w:rPr>
          <w:rFonts w:ascii="Tahoma" w:eastAsia="Calibri" w:hAnsi="Tahoma" w:cs="Tahoma"/>
          <w:b/>
          <w:bCs/>
          <w:sz w:val="20"/>
          <w:szCs w:val="20"/>
        </w:rPr>
      </w:pPr>
      <w:r w:rsidRPr="0020086D">
        <w:rPr>
          <w:rFonts w:ascii="Tahoma" w:eastAsia="Calibri" w:hAnsi="Tahoma" w:cs="Tahoma"/>
          <w:b/>
          <w:bCs/>
          <w:sz w:val="20"/>
          <w:szCs w:val="20"/>
        </w:rPr>
        <w:t xml:space="preserve"> </w:t>
      </w: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DGK.26.1.3.2021.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Pr>
          <w:rFonts w:ascii="Tahoma" w:hAnsi="Tahoma" w:cs="Tahoma"/>
          <w:sz w:val="20"/>
        </w:rPr>
        <w:t xml:space="preserve">ryb przetworzonych i konserwowanych </w:t>
      </w:r>
      <w:r w:rsidRPr="0020086D">
        <w:rPr>
          <w:rFonts w:ascii="Tahoma" w:hAnsi="Tahoma" w:cs="Tahoma"/>
          <w:sz w:val="20"/>
        </w:rPr>
        <w:t>na rzecz DPS „Zameczek” w roku 2022”</w:t>
      </w:r>
    </w:p>
    <w:p w:rsidR="00BF5F3A" w:rsidRPr="0020086D" w:rsidRDefault="00BF5F3A" w:rsidP="00BF5F3A">
      <w:pPr>
        <w:jc w:val="both"/>
        <w:rPr>
          <w:rFonts w:ascii="Tahoma" w:eastAsia="Calibri" w:hAnsi="Tahoma" w:cs="Tahoma"/>
          <w:b/>
          <w:bCs/>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DGK.26.1.3</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Pr>
          <w:rFonts w:ascii="Tahoma" w:hAnsi="Tahoma" w:cs="Tahoma"/>
          <w:sz w:val="20"/>
        </w:rPr>
        <w:t xml:space="preserve">ryb przetworzonych i konserwowanych </w:t>
      </w:r>
      <w:r w:rsidRPr="0020086D">
        <w:rPr>
          <w:rFonts w:ascii="Tahoma" w:hAnsi="Tahoma" w:cs="Tahoma"/>
          <w:sz w:val="20"/>
        </w:rPr>
        <w:t>na rzecz DPS „Zameczek” w roku 2022”</w:t>
      </w:r>
    </w:p>
    <w:p w:rsidR="00BF5F3A" w:rsidRPr="0020086D" w:rsidRDefault="00BF5F3A" w:rsidP="00BF5F3A">
      <w:pPr>
        <w:pStyle w:val="Tekstpodstawowy21"/>
        <w:tabs>
          <w:tab w:val="right" w:leader="underscore" w:pos="9072"/>
        </w:tabs>
        <w:rPr>
          <w:rFonts w:ascii="Tahoma" w:hAnsi="Tahoma" w:cs="Tahoma"/>
          <w:sz w:val="20"/>
        </w:rPr>
      </w:pPr>
    </w:p>
    <w:p w:rsidR="00BF5F3A" w:rsidRPr="0020086D" w:rsidRDefault="00BF5F3A" w:rsidP="00BF5F3A">
      <w:pPr>
        <w:jc w:val="both"/>
        <w:rPr>
          <w:rFonts w:ascii="Tahoma" w:eastAsia="Calibri" w:hAnsi="Tahoma" w:cs="Tahoma"/>
          <w:b/>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BF5F3A" w:rsidRDefault="00BF5F3A" w:rsidP="00BF5F3A">
      <w:pPr>
        <w:rPr>
          <w:rFonts w:ascii="Tahoma" w:hAnsi="Tahoma" w:cs="Tahoma"/>
          <w:sz w:val="20"/>
        </w:rPr>
      </w:pPr>
      <w:r>
        <w:rPr>
          <w:rFonts w:ascii="Tahoma" w:hAnsi="Tahoma" w:cs="Tahoma"/>
          <w:sz w:val="20"/>
        </w:rPr>
        <w:lastRenderedPageBreak/>
        <w:t>DGK.26.1.3.2021.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t>Wykonawca zobowiązuje się dostarczyć zamawiane produkty do 2 dni po otrzymaniu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C63183">
        <w:tc>
          <w:tcPr>
            <w:tcW w:w="4361" w:type="dxa"/>
            <w:shd w:val="clear" w:color="auto" w:fill="auto"/>
          </w:tcPr>
          <w:p w:rsidR="00BF5F3A" w:rsidRPr="0020086D" w:rsidRDefault="00BF5F3A" w:rsidP="00C63183">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C63183">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C63183">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C63183">
        <w:tc>
          <w:tcPr>
            <w:tcW w:w="4361" w:type="dxa"/>
            <w:shd w:val="clear" w:color="auto" w:fill="auto"/>
          </w:tcPr>
          <w:p w:rsidR="00BF5F3A" w:rsidRPr="0020086D" w:rsidRDefault="00BF5F3A" w:rsidP="00C63183">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C63183">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C63183">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DGK.26.1.3.2021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Pr>
          <w:rFonts w:ascii="Arial" w:hAnsi="Arial" w:cs="Arial"/>
          <w:sz w:val="20"/>
          <w:szCs w:val="20"/>
        </w:rPr>
        <w:t>„</w:t>
      </w:r>
      <w:r>
        <w:rPr>
          <w:rFonts w:ascii="Arial" w:hAnsi="Arial" w:cs="Arial"/>
          <w:b/>
          <w:bCs/>
          <w:sz w:val="20"/>
          <w:szCs w:val="20"/>
        </w:rPr>
        <w:t>Sprzedaż wraz z sukcesywną dostawą ryb przetworzonych i konserwowanych dla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lastRenderedPageBreak/>
        <w:t>DGK.26.1.3.2021.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Default="00BF5F3A" w:rsidP="00BF5F3A">
      <w:r>
        <w:lastRenderedPageBreak/>
        <w:t xml:space="preserve">DGK.26.1.3.2021. </w:t>
      </w:r>
    </w:p>
    <w:p w:rsidR="00BF5F3A" w:rsidRDefault="00BF5F3A" w:rsidP="00BF5F3A">
      <w:pPr>
        <w:jc w:val="right"/>
      </w:pPr>
      <w:r>
        <w:t>Załącznik nr 9 do SWZ</w:t>
      </w:r>
    </w:p>
    <w:p w:rsidR="00BF5F3A" w:rsidRDefault="00BF5F3A" w:rsidP="00BF5F3A"/>
    <w:p w:rsidR="00BF5F3A" w:rsidRDefault="00BF5F3A" w:rsidP="00BF5F3A"/>
    <w:p w:rsidR="00BF5F3A" w:rsidRDefault="00BF5F3A" w:rsidP="00BF5F3A">
      <w:r>
        <w:t xml:space="preserve">Link do postępowania: </w:t>
      </w:r>
      <w:hyperlink r:id="rId19" w:history="1">
        <w:r w:rsidRPr="00A57AB3">
          <w:rPr>
            <w:rStyle w:val="Hipercze"/>
          </w:rPr>
          <w:t>https://miniportal.uzp.gov.pl/Postepowania/76f12860-c20d-4946-83ed-b9104056736a</w:t>
        </w:r>
      </w:hyperlink>
      <w:r>
        <w:t xml:space="preserve"> </w:t>
      </w:r>
    </w:p>
    <w:p w:rsidR="00BF5F3A" w:rsidRDefault="00BF5F3A" w:rsidP="00BF5F3A">
      <w:r>
        <w:t>Identyfikator postępowania w mini portal: 76f12860-c20d-4946-83ed-b9104056736a</w:t>
      </w:r>
    </w:p>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146220"/>
    <w:rsid w:val="001D7057"/>
    <w:rsid w:val="003B2A5B"/>
    <w:rsid w:val="003E650D"/>
    <w:rsid w:val="004C3966"/>
    <w:rsid w:val="004D3F92"/>
    <w:rsid w:val="00546B24"/>
    <w:rsid w:val="006B166D"/>
    <w:rsid w:val="006E1B88"/>
    <w:rsid w:val="00860E83"/>
    <w:rsid w:val="009763FA"/>
    <w:rsid w:val="00A25E8E"/>
    <w:rsid w:val="00A37883"/>
    <w:rsid w:val="00A63B8C"/>
    <w:rsid w:val="00A668D6"/>
    <w:rsid w:val="00BF5F3A"/>
    <w:rsid w:val="00C862E7"/>
    <w:rsid w:val="00DB6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76f12860-c20d-4946-83ed-b9104056736a"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7819</Words>
  <Characters>46917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5</cp:revision>
  <dcterms:created xsi:type="dcterms:W3CDTF">2021-12-01T12:01:00Z</dcterms:created>
  <dcterms:modified xsi:type="dcterms:W3CDTF">2021-12-01T13:16:00Z</dcterms:modified>
</cp:coreProperties>
</file>